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08A8" w14:textId="5CF27783" w:rsidR="00CE1B3A" w:rsidRPr="00CE1B3A" w:rsidRDefault="00CE1B3A" w:rsidP="00BA1B07">
      <w:pPr>
        <w:jc w:val="center"/>
        <w:rPr>
          <w:b/>
          <w:bCs/>
          <w:sz w:val="24"/>
          <w:szCs w:val="24"/>
          <w:lang w:val="it-IT"/>
        </w:rPr>
      </w:pPr>
      <w:r w:rsidRPr="00CE1B3A">
        <w:rPr>
          <w:b/>
          <w:bCs/>
          <w:sz w:val="24"/>
          <w:szCs w:val="24"/>
          <w:lang w:val="it-IT"/>
        </w:rPr>
        <w:t>Nuovi materiali per lo stoccaggio dell'idrogeno</w:t>
      </w:r>
    </w:p>
    <w:p w14:paraId="1D9BE97B" w14:textId="1096C6E8" w:rsidR="00A9297B" w:rsidRDefault="00CE1B3A" w:rsidP="00BA1B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BA1B07" w:rsidRPr="00BA1B07">
        <w:rPr>
          <w:b/>
          <w:bCs/>
          <w:sz w:val="24"/>
          <w:szCs w:val="24"/>
        </w:rPr>
        <w:t>Novel Materials for Hydrogen storage</w:t>
      </w:r>
      <w:r>
        <w:rPr>
          <w:b/>
          <w:bCs/>
          <w:sz w:val="24"/>
          <w:szCs w:val="24"/>
        </w:rPr>
        <w:t>)</w:t>
      </w:r>
    </w:p>
    <w:p w14:paraId="19382D42" w14:textId="77777777" w:rsidR="00CE1B3A" w:rsidRDefault="00CE1B3A" w:rsidP="00BA1B07">
      <w:pPr>
        <w:jc w:val="center"/>
        <w:rPr>
          <w:b/>
          <w:bCs/>
          <w:sz w:val="24"/>
          <w:szCs w:val="24"/>
        </w:rPr>
      </w:pPr>
    </w:p>
    <w:p w14:paraId="35D3FF39" w14:textId="28BAEB6D" w:rsidR="00CE1B3A" w:rsidRPr="00CE1B3A" w:rsidRDefault="00CE1B3A" w:rsidP="00CE1B3A">
      <w:pPr>
        <w:jc w:val="both"/>
        <w:rPr>
          <w:sz w:val="24"/>
          <w:szCs w:val="24"/>
          <w:lang w:val="it-IT"/>
        </w:rPr>
      </w:pPr>
      <w:r w:rsidRPr="00CE1B3A">
        <w:rPr>
          <w:sz w:val="24"/>
          <w:szCs w:val="24"/>
          <w:lang w:val="it-IT"/>
        </w:rPr>
        <w:t>Il progetto</w:t>
      </w:r>
      <w:r>
        <w:rPr>
          <w:sz w:val="24"/>
          <w:szCs w:val="24"/>
          <w:lang w:val="it-IT"/>
        </w:rPr>
        <w:t xml:space="preserve"> complessivo in cui si inserisce questo lavoro </w:t>
      </w:r>
      <w:r w:rsidRPr="00CE1B3A">
        <w:rPr>
          <w:sz w:val="24"/>
          <w:szCs w:val="24"/>
          <w:lang w:val="it-IT"/>
        </w:rPr>
        <w:t xml:space="preserve">intende colmare il gap fra le tecnologie esistenti per l’accumulo dell’idrogeno e le reali necessità per una sua effettiva diffusione e definendo soluzioni per le applicazioni in diverse tipologie di distretti e nelle comunità energetiche attualmente utilizzanti alta pressione o bassa temperatura. Quest’azione intende sviluppare e qualificare sistemi evoluti e/o ibridi sfruttando a pieno la libertà offerta dalla produzione di materiali con struttura e composizione controllata a scala nanometrica (nanomateriali) per sintetizzare nuovi sorbenti per l’idrogeno così come la capacità di accumulo in liquid carrier (NH3) su piccola scala. Il fine è quindi di realizzare </w:t>
      </w:r>
      <w:r>
        <w:rPr>
          <w:sz w:val="24"/>
          <w:szCs w:val="24"/>
          <w:lang w:val="it-IT"/>
        </w:rPr>
        <w:t xml:space="preserve">materiali per lo </w:t>
      </w:r>
      <w:r w:rsidRPr="00CE1B3A">
        <w:rPr>
          <w:sz w:val="24"/>
          <w:szCs w:val="24"/>
          <w:lang w:val="it-IT"/>
        </w:rPr>
        <w:t>stoccaggio di idrogeno che poss</w:t>
      </w:r>
      <w:r>
        <w:rPr>
          <w:sz w:val="24"/>
          <w:szCs w:val="24"/>
          <w:lang w:val="it-IT"/>
        </w:rPr>
        <w:t>a</w:t>
      </w:r>
      <w:r w:rsidRPr="00CE1B3A">
        <w:rPr>
          <w:sz w:val="24"/>
          <w:szCs w:val="24"/>
          <w:lang w:val="it-IT"/>
        </w:rPr>
        <w:t>no operare a temperature e pressioni tali da  rendere minimi i costi energetici, adattarli alla non programmabilità delle rinnovabili e sviluppando sistemi di distribuzione pronta e flessibile al contempo minimizzando  problemi legati alla sicurezza del loro utilizzo. Un altro fondamentale impegno del progetto è quello dell’uso di materiali sostenibili e a basso impatto (come i biochar) sia nella produzione di sorbenti che per la produzione di supporti per catalizzatori attivi, sviluppando un approccio che valorizzi l’uso di un prodotto a basso valore aggiunto e di scarto ed evitando l’uso di materiali la cui produzione o smaltimento sia dannosa per l’ambiente.</w:t>
      </w:r>
    </w:p>
    <w:sectPr w:rsidR="00CE1B3A" w:rsidRPr="00CE1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07"/>
    <w:rsid w:val="00A9297B"/>
    <w:rsid w:val="00BA1B07"/>
    <w:rsid w:val="00C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8C49"/>
  <w15:chartTrackingRefBased/>
  <w15:docId w15:val="{2AEF5873-0121-4FDE-BD96-C5F1C573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Albonetti</dc:creator>
  <cp:keywords/>
  <dc:description/>
  <cp:lastModifiedBy>Stefania Albonetti</cp:lastModifiedBy>
  <cp:revision>3</cp:revision>
  <dcterms:created xsi:type="dcterms:W3CDTF">2022-12-15T12:02:00Z</dcterms:created>
  <dcterms:modified xsi:type="dcterms:W3CDTF">2022-12-15T12:05:00Z</dcterms:modified>
</cp:coreProperties>
</file>